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383846B4" w14:textId="4396A985" w:rsidR="00730DC9" w:rsidRPr="00730DC9" w:rsidRDefault="00730DC9" w:rsidP="00730DC9">
      <w:pPr>
        <w:jc w:val="center"/>
        <w:rPr>
          <w:rFonts w:ascii="Book Antiqua" w:hAnsi="Book Antiqua" w:cs="Arial"/>
          <w:b/>
          <w:bCs/>
          <w:color w:val="365F91" w:themeColor="accent1" w:themeShade="BF"/>
          <w:sz w:val="22"/>
          <w:szCs w:val="22"/>
        </w:rPr>
      </w:pPr>
      <w:r w:rsidRPr="00730DC9">
        <w:rPr>
          <w:rFonts w:ascii="Book Antiqua" w:hAnsi="Book Antiqua" w:cs="Arial"/>
          <w:b/>
          <w:bCs/>
          <w:color w:val="365F91" w:themeColor="accent1" w:themeShade="BF"/>
          <w:sz w:val="22"/>
          <w:szCs w:val="22"/>
        </w:rPr>
        <w:t>Appointment of Independent Engineer for “</w:t>
      </w:r>
      <w:r w:rsidR="00FB20FE" w:rsidRPr="00FB20FE">
        <w:rPr>
          <w:rFonts w:ascii="Book Antiqua" w:hAnsi="Book Antiqua" w:cs="Arial"/>
          <w:b/>
          <w:bCs/>
          <w:color w:val="365F91" w:themeColor="accent1" w:themeShade="BF"/>
          <w:sz w:val="22"/>
          <w:szCs w:val="22"/>
        </w:rPr>
        <w:t>Transmission system for Evacuation of Power from RE Projects in Morena SEZ in Madhya Pradesh-Phase I (2500MW)</w:t>
      </w:r>
      <w:r w:rsidRPr="00730DC9">
        <w:rPr>
          <w:rFonts w:ascii="Book Antiqua" w:hAnsi="Book Antiqua" w:cs="Arial"/>
          <w:b/>
          <w:bCs/>
          <w:color w:val="365F91" w:themeColor="accent1" w:themeShade="BF"/>
          <w:sz w:val="22"/>
          <w:szCs w:val="22"/>
        </w:rPr>
        <w:t>”.</w:t>
      </w:r>
    </w:p>
    <w:p w14:paraId="61FD3EC1" w14:textId="77777777" w:rsidR="00730DC9" w:rsidRPr="00730DC9" w:rsidRDefault="00730DC9" w:rsidP="00730DC9">
      <w:pPr>
        <w:jc w:val="center"/>
        <w:rPr>
          <w:rFonts w:ascii="Book Antiqua" w:hAnsi="Book Antiqua" w:cs="Arial"/>
          <w:b/>
          <w:bCs/>
          <w:color w:val="365F91" w:themeColor="accent1" w:themeShade="BF"/>
          <w:sz w:val="22"/>
          <w:szCs w:val="22"/>
        </w:rPr>
      </w:pPr>
    </w:p>
    <w:p w14:paraId="2BC39D00" w14:textId="3487C28D" w:rsidR="005D0C17" w:rsidRDefault="00730DC9" w:rsidP="00730DC9">
      <w:pPr>
        <w:jc w:val="center"/>
        <w:rPr>
          <w:rFonts w:ascii="Book Antiqua" w:hAnsi="Book Antiqua" w:cs="Arial"/>
          <w:b/>
          <w:bCs/>
          <w:sz w:val="22"/>
          <w:szCs w:val="22"/>
        </w:rPr>
      </w:pPr>
      <w:r w:rsidRPr="00730DC9">
        <w:rPr>
          <w:rFonts w:ascii="Book Antiqua" w:hAnsi="Book Antiqua" w:cs="Arial"/>
          <w:b/>
          <w:bCs/>
          <w:color w:val="365F91" w:themeColor="accent1" w:themeShade="BF"/>
          <w:sz w:val="22"/>
          <w:szCs w:val="22"/>
        </w:rPr>
        <w:t>(Spec. No. CTUIL/IE/2025-26/9</w:t>
      </w:r>
      <w:r w:rsidR="00FB20FE">
        <w:rPr>
          <w:rFonts w:ascii="Book Antiqua" w:hAnsi="Book Antiqua" w:cs="Arial"/>
          <w:b/>
          <w:bCs/>
          <w:color w:val="365F91" w:themeColor="accent1" w:themeShade="BF"/>
          <w:sz w:val="22"/>
          <w:szCs w:val="22"/>
        </w:rPr>
        <w:t>6</w:t>
      </w:r>
      <w:r w:rsidRPr="00730DC9">
        <w:rPr>
          <w:rFonts w:ascii="Book Antiqua" w:hAnsi="Book Antiqua" w:cs="Arial"/>
          <w:b/>
          <w:bCs/>
          <w:color w:val="365F91" w:themeColor="accent1" w:themeShade="BF"/>
          <w:sz w:val="22"/>
          <w:szCs w:val="22"/>
        </w:rPr>
        <w:t>)</w:t>
      </w: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RfP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Bidders may note that the Employer has uploaded its 'Works &amp; Procurement Policy and Procedure’ (Vol.-I &amp; II) along with its Updation/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‘RfP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(ToR)</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per Rfp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RfP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RfP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(ToR), Section-II of RfP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(RfP)</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(R</w:t>
      </w:r>
      <w:r w:rsidR="009548CE" w:rsidRPr="00FC0343">
        <w:rPr>
          <w:rFonts w:ascii="Book Antiqua" w:hAnsi="Book Antiqua" w:cs="Arial"/>
          <w:sz w:val="22"/>
          <w:szCs w:val="22"/>
        </w:rPr>
        <w:t>f</w:t>
      </w:r>
      <w:r w:rsidR="005D2389" w:rsidRPr="00FC0343">
        <w:rPr>
          <w:rFonts w:ascii="Book Antiqua" w:hAnsi="Book Antiqua" w:cs="Arial"/>
          <w:sz w:val="22"/>
          <w:szCs w:val="22"/>
        </w:rPr>
        <w:t xml:space="preserve">P),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(RfP)</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company(ies),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RfP Documents and action shall be taken in line with provisions of the RfP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(i)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CONTENT OF 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RfP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 xml:space="preserve">Terms of Reference (ToR);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RfP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RfP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in Special Conditions Contract (SCC), Section-IV of RfP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(ToR)/</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AMENDMENT OF RfP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At any time prior to the deadline for the submission of Proposals, the Employer may, for any reason, whether at its own initiative or in response to clarification(s) requested by prospective Consultant(s), modify the RfP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RfP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given in RfP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r w:rsidRPr="00BD65B7">
              <w:rPr>
                <w:rFonts w:ascii="Book Antiqua" w:hAnsi="Book Antiqua" w:cs="Arial"/>
                <w:sz w:val="22"/>
                <w:szCs w:val="22"/>
              </w:rPr>
              <w:t>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RfP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 xml:space="preserve">A power of attorney, duly notarized, indicating that the person(s) signing the Proposal has(ve)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Bidder shall furnish this PoA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(i)</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Format for Price breakup is available with the Rf</w:t>
      </w:r>
      <w:r w:rsidR="00700533">
        <w:rPr>
          <w:rFonts w:ascii="Book Antiqua" w:hAnsi="Book Antiqua" w:cs="Arial"/>
          <w:spacing w:val="-2"/>
          <w:sz w:val="22"/>
          <w:szCs w:val="22"/>
        </w:rPr>
        <w:t>P</w:t>
      </w:r>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RfP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(i) above</w:t>
      </w:r>
      <w:r w:rsidR="00742E2C" w:rsidRPr="00742E2C">
        <w:rPr>
          <w:rStyle w:val="Hyperlink"/>
          <w:rFonts w:ascii="Book Antiqua" w:hAnsi="Book Antiqua" w:cs="Arial"/>
          <w:color w:val="auto"/>
          <w:sz w:val="22"/>
          <w:szCs w:val="22"/>
          <w:u w:val="none"/>
        </w:rPr>
        <w:t xml:space="preserve"> and price breakup of the proposal price in format available in </w:t>
      </w:r>
      <w:r w:rsidR="00742E2C">
        <w:rPr>
          <w:rStyle w:val="Hyperlink"/>
          <w:rFonts w:ascii="Book Antiqua" w:hAnsi="Book Antiqua" w:cs="Arial"/>
          <w:color w:val="auto"/>
          <w:sz w:val="22"/>
          <w:szCs w:val="22"/>
          <w:u w:val="none"/>
        </w:rPr>
        <w:t>RfP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all the Consultants’ obligations mentioned in or to be reasonably inferred from the RfP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RfP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RfP Documents (</w:t>
      </w:r>
      <w:r w:rsidR="00604079" w:rsidRPr="0030368E">
        <w:rPr>
          <w:rFonts w:ascii="Book Antiqua" w:hAnsi="Book Antiqua" w:cs="Arial"/>
          <w:b/>
          <w:i/>
          <w:iCs/>
          <w:spacing w:val="-2"/>
          <w:sz w:val="22"/>
          <w:szCs w:val="22"/>
        </w:rPr>
        <w:t>Proforma at Attachment-1, Section-IV of RfP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[(i)to(viii)]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The proposal security shall, at the bidder’s option, be in the form of a crossed bank draft/pay order /banker certified cheque in favour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RfP Documents. proposal Security shall be valid upto date specified in Special Conditions of Contract (SCC), Section-IV of RfP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security(ies)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furnish the required performance security(ies),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the R</w:t>
      </w:r>
      <w:r w:rsidR="00B23366">
        <w:rPr>
          <w:rFonts w:ascii="Book Antiqua" w:hAnsi="Book Antiqua" w:cs="Arial"/>
          <w:sz w:val="22"/>
          <w:szCs w:val="22"/>
        </w:rPr>
        <w:t>f</w:t>
      </w:r>
      <w:r w:rsidR="006635B1" w:rsidRPr="00FC0343">
        <w:rPr>
          <w:rFonts w:ascii="Book Antiqua" w:hAnsi="Book Antiqua" w:cs="Arial"/>
          <w:sz w:val="22"/>
          <w:szCs w:val="22"/>
        </w:rPr>
        <w:t xml:space="preserve">P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the proposals will be received/uploaded upto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R</w:t>
      </w:r>
      <w:r w:rsidR="00010A56" w:rsidRPr="006C2379">
        <w:rPr>
          <w:rFonts w:ascii="Book Antiqua" w:hAnsi="Book Antiqua" w:cs="Arial"/>
          <w:sz w:val="22"/>
          <w:szCs w:val="22"/>
        </w:rPr>
        <w:t>f</w:t>
      </w:r>
      <w:r w:rsidR="00F10DBA" w:rsidRPr="006C2379">
        <w:rPr>
          <w:rFonts w:ascii="Book Antiqua" w:hAnsi="Book Antiqua" w:cs="Arial"/>
          <w:sz w:val="22"/>
          <w:szCs w:val="22"/>
        </w:rPr>
        <w:t xml:space="preserve">P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(i)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will be received upto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As provided in Special Condition of Contract (SCC), Section-IV of RfP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(i),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designated Authority of GoI under the Public Procurement Policy for MSEs</w:t>
      </w:r>
      <w:r w:rsidRPr="007C118A">
        <w:rPr>
          <w:rFonts w:ascii="Book Antiqua" w:hAnsi="Book Antiqua" w:cs="Arial"/>
          <w:sz w:val="22"/>
          <w:szCs w:val="22"/>
        </w:rPr>
        <w:t xml:space="preserve"> required to be submitted by the Consultant as per the provisions of the RfP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RfP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 xml:space="preserve">(i)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GeM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RfP documents are mutually explanatory of one another. If there are varying or conflicting provisions made in any one of the RfP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from the execution of the whole or any part of the works comprised therein according to entire scope of work as specified in the RfP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any discrepancy between the Lump Sum quoted price on the GeM portal and uploaded Price breakup by the bidder with H1 score ( as per clause No. 29 of Conditions of Contract, Section–III of RfP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RfP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The Bidder should note that any deviation to RfP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Specification numbers and the following information: (i)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favour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favour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subsequent to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(i)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RfP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The Contract performance Guarantee is intended to secure the performance of the entire contract. However, it is not to be construed as limiting the damages stipulated in other clauses in the RfP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It is the Employer’s policy that requires the bidder to sign a declaration alongwith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RfP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ToR.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etc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alongwith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endeavour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CTUIL is registered on TReDS (Trade Receivables Discounting System) platforms namely i.e. RXIL (Receivable Exchange of India Limited), M1-xchange (Mynd Solutions Private Limited) and Invoicemart (A.TreDS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(i)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actually received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r w:rsidRPr="00221C48">
        <w:rPr>
          <w:rFonts w:ascii="Book Antiqua" w:hAnsi="Book Antiqua" w:cs="Arial"/>
          <w:sz w:val="22"/>
          <w:szCs w:val="22"/>
        </w:rPr>
        <w:t xml:space="preserve">Upto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r w:rsidR="00A737DE">
        <w:rPr>
          <w:rFonts w:ascii="Book Antiqua" w:hAnsi="Book Antiqua" w:cs="Arial"/>
          <w:sz w:val="22"/>
          <w:szCs w:val="22"/>
        </w:rPr>
        <w:t>i</w:t>
      </w:r>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the  right,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all of the services within the time period(s)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In the event of Employer terminating the contract, pursuant to clause 50.1. the Employer shall forfeit the submitted CPG (Contract Performance Guarantee). Further, the Employer may get the services done, upon such terms and in such manner as it deems appropriate, similar to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In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The decision/instruction of the Engineer In Charge (EIC) shall be deemed to have been accepted by the Contractor unless notified by the Contractor of his intention to refer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All disputes or differences in respect of which the decision, if any, of the Engineer In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sole Arbitrator shall be chosen from a panel of empanelled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Sl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 Retired High Court/Supreme Court  Judges</w:t>
            </w:r>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r w:rsidRPr="007C0FE9">
        <w:rPr>
          <w:rFonts w:ascii="Book Antiqua" w:hAnsi="Book Antiqua" w:cs="Arial"/>
          <w:b/>
          <w:bCs/>
          <w:sz w:val="22"/>
          <w:szCs w:val="22"/>
          <w:u w:val="single"/>
        </w:rPr>
        <w:t>Three member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In case of Sole Arbitrator, the fees to be paid to the sole Arbitrator shall be as per the terms of empanelment in POWERGRID/CTUIL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the majority of the arbitrators, as the case may be, shall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 xml:space="preserve">The procedure of CCIE shall not be treated as alternate arbitration proceedings where both parties come with Statement of claims/defence, arguments/counter arguments, rejoinders, </w:t>
      </w:r>
      <w:r w:rsidRPr="007C0FE9">
        <w:rPr>
          <w:rFonts w:ascii="Book Antiqua" w:hAnsi="Book Antiqua" w:cs="Arial"/>
          <w:bCs/>
          <w:sz w:val="22"/>
          <w:szCs w:val="22"/>
        </w:rPr>
        <w:lastRenderedPageBreak/>
        <w:t>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The obligations stipulated in this RfP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as a result of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In the event of Force Majeure, neither of the Parties may be considered in default of its obligations under the terms of the RfP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cause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upto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ToR</w:t>
      </w:r>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The contractor along with their associate/Collaborators/Sub-contractors/sub-vendors/ consultants/ service providers shall observe the highest standard of ethics and shall not indulge or allow anybody else working in their organisation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68DC" w14:textId="77777777" w:rsidR="0037587B" w:rsidRDefault="0037587B" w:rsidP="003E7F85">
      <w:r>
        <w:separator/>
      </w:r>
    </w:p>
  </w:endnote>
  <w:endnote w:type="continuationSeparator" w:id="0">
    <w:p w14:paraId="0814EF3D" w14:textId="77777777" w:rsidR="0037587B" w:rsidRDefault="0037587B" w:rsidP="003E7F85">
      <w:r>
        <w:continuationSeparator/>
      </w:r>
    </w:p>
  </w:endnote>
  <w:endnote w:type="continuationNotice" w:id="1">
    <w:p w14:paraId="4BBBF996" w14:textId="77777777" w:rsidR="0037587B" w:rsidRDefault="00375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Section–III of RfP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3CF91" w14:textId="77777777" w:rsidR="0037587B" w:rsidRDefault="0037587B" w:rsidP="003E7F85">
      <w:r>
        <w:separator/>
      </w:r>
    </w:p>
  </w:footnote>
  <w:footnote w:type="continuationSeparator" w:id="0">
    <w:p w14:paraId="0658C9AC" w14:textId="77777777" w:rsidR="0037587B" w:rsidRDefault="0037587B" w:rsidP="003E7F85">
      <w:r>
        <w:continuationSeparator/>
      </w:r>
    </w:p>
  </w:footnote>
  <w:footnote w:type="continuationNotice" w:id="1">
    <w:p w14:paraId="2E420946" w14:textId="77777777" w:rsidR="0037587B" w:rsidRDefault="003758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Bc/aCFvAIA&#10;APMEAAAOAAAAAAAAAAAAAAAAAC4CAABkcnMvZTJvRG9jLnhtbFBLAQItABQABgAIAAAAIQCco0AK&#10;2gAAAAQBAAAPAAAAAAAAAAAAAAAAABYFAABkcnMvZG93bnJldi54bWxQSwUGAAAAAAQABADzAAAA&#10;HQY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CeZjrv&#10;vwIAAPoEAAAOAAAAAAAAAAAAAAAAAC4CAABkcnMvZTJvRG9jLnhtbFBLAQItABQABgAIAAAAIQCc&#10;o0AK2gAAAAQBAAAPAAAAAAAAAAAAAAAAABkFAABkcnMvZG93bnJldi54bWxQSwUGAAAAAAQABADz&#10;AAAAIAYAAA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ANzWBl&#10;vwIAAPoEAAAOAAAAAAAAAAAAAAAAAC4CAABkcnMvZTJvRG9jLnhtbFBLAQItABQABgAIAAAAIQCc&#10;o0AK2gAAAAQBAAAPAAAAAAAAAAAAAAAAABkFAABkcnMvZG93bnJldi54bWxQSwUGAAAAAAQABADz&#10;AAAAIAYAA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7885695">
    <w:abstractNumId w:val="7"/>
  </w:num>
  <w:num w:numId="2" w16cid:durableId="1845706944">
    <w:abstractNumId w:val="21"/>
  </w:num>
  <w:num w:numId="3" w16cid:durableId="1638680044">
    <w:abstractNumId w:val="6"/>
  </w:num>
  <w:num w:numId="4" w16cid:durableId="1662193943">
    <w:abstractNumId w:val="27"/>
  </w:num>
  <w:num w:numId="5" w16cid:durableId="1917011306">
    <w:abstractNumId w:val="32"/>
  </w:num>
  <w:num w:numId="6" w16cid:durableId="1328360833">
    <w:abstractNumId w:val="5"/>
  </w:num>
  <w:num w:numId="7" w16cid:durableId="1551503669">
    <w:abstractNumId w:val="33"/>
  </w:num>
  <w:num w:numId="8" w16cid:durableId="1734233243">
    <w:abstractNumId w:val="29"/>
  </w:num>
  <w:num w:numId="9" w16cid:durableId="1613777349">
    <w:abstractNumId w:val="20"/>
  </w:num>
  <w:num w:numId="10" w16cid:durableId="1331366528">
    <w:abstractNumId w:val="16"/>
  </w:num>
  <w:num w:numId="11" w16cid:durableId="541987486">
    <w:abstractNumId w:val="1"/>
  </w:num>
  <w:num w:numId="12" w16cid:durableId="1302812742">
    <w:abstractNumId w:val="3"/>
  </w:num>
  <w:num w:numId="13" w16cid:durableId="188566889">
    <w:abstractNumId w:val="38"/>
  </w:num>
  <w:num w:numId="14" w16cid:durableId="496501613">
    <w:abstractNumId w:val="46"/>
  </w:num>
  <w:num w:numId="15" w16cid:durableId="1781879723">
    <w:abstractNumId w:val="22"/>
  </w:num>
  <w:num w:numId="16" w16cid:durableId="426658439">
    <w:abstractNumId w:val="11"/>
  </w:num>
  <w:num w:numId="17" w16cid:durableId="457921049">
    <w:abstractNumId w:val="39"/>
  </w:num>
  <w:num w:numId="18" w16cid:durableId="235476507">
    <w:abstractNumId w:val="18"/>
  </w:num>
  <w:num w:numId="19" w16cid:durableId="1891647678">
    <w:abstractNumId w:val="40"/>
  </w:num>
  <w:num w:numId="20" w16cid:durableId="1654676705">
    <w:abstractNumId w:val="14"/>
  </w:num>
  <w:num w:numId="21" w16cid:durableId="677585136">
    <w:abstractNumId w:val="12"/>
  </w:num>
  <w:num w:numId="22" w16cid:durableId="1651909489">
    <w:abstractNumId w:val="36"/>
  </w:num>
  <w:num w:numId="23" w16cid:durableId="369730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204697">
    <w:abstractNumId w:val="44"/>
  </w:num>
  <w:num w:numId="25" w16cid:durableId="1488134314">
    <w:abstractNumId w:val="2"/>
  </w:num>
  <w:num w:numId="26" w16cid:durableId="1385325523">
    <w:abstractNumId w:val="19"/>
  </w:num>
  <w:num w:numId="27" w16cid:durableId="580723442">
    <w:abstractNumId w:val="25"/>
  </w:num>
  <w:num w:numId="28" w16cid:durableId="1987780143">
    <w:abstractNumId w:val="35"/>
  </w:num>
  <w:num w:numId="29" w16cid:durableId="761335400">
    <w:abstractNumId w:val="34"/>
  </w:num>
  <w:num w:numId="30" w16cid:durableId="1282616801">
    <w:abstractNumId w:val="28"/>
  </w:num>
  <w:num w:numId="31" w16cid:durableId="2025276517">
    <w:abstractNumId w:val="17"/>
  </w:num>
  <w:num w:numId="32" w16cid:durableId="287047944">
    <w:abstractNumId w:val="43"/>
  </w:num>
  <w:num w:numId="33" w16cid:durableId="1669554577">
    <w:abstractNumId w:val="41"/>
  </w:num>
  <w:num w:numId="34" w16cid:durableId="1608999152">
    <w:abstractNumId w:val="24"/>
  </w:num>
  <w:num w:numId="35" w16cid:durableId="2130321213">
    <w:abstractNumId w:val="15"/>
  </w:num>
  <w:num w:numId="36" w16cid:durableId="455367786">
    <w:abstractNumId w:val="37"/>
  </w:num>
  <w:num w:numId="37" w16cid:durableId="612635293">
    <w:abstractNumId w:val="26"/>
  </w:num>
  <w:num w:numId="38" w16cid:durableId="1856846436">
    <w:abstractNumId w:val="31"/>
  </w:num>
  <w:num w:numId="39" w16cid:durableId="1754203963">
    <w:abstractNumId w:val="13"/>
  </w:num>
  <w:num w:numId="40" w16cid:durableId="1073043319">
    <w:abstractNumId w:val="42"/>
  </w:num>
  <w:num w:numId="41" w16cid:durableId="366178584">
    <w:abstractNumId w:val="8"/>
  </w:num>
  <w:num w:numId="42" w16cid:durableId="137961589">
    <w:abstractNumId w:val="4"/>
  </w:num>
  <w:num w:numId="43" w16cid:durableId="1809282484">
    <w:abstractNumId w:val="10"/>
  </w:num>
  <w:num w:numId="44" w16cid:durableId="1914732185">
    <w:abstractNumId w:val="0"/>
  </w:num>
  <w:num w:numId="45" w16cid:durableId="1853647463">
    <w:abstractNumId w:val="45"/>
  </w:num>
  <w:num w:numId="46" w16cid:durableId="665087918">
    <w:abstractNumId w:val="9"/>
  </w:num>
  <w:num w:numId="47" w16cid:durableId="112724141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FB25-A42D-4A5E-ACB6-2EBECF15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44</Pages>
  <Words>15915</Words>
  <Characters>92154</Characters>
  <Application>Microsoft Office Word</Application>
  <DocSecurity>0</DocSecurity>
  <Lines>2303</Lines>
  <Paragraphs>991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410</cp:revision>
  <cp:lastPrinted>2022-12-29T01:29:00Z</cp:lastPrinted>
  <dcterms:created xsi:type="dcterms:W3CDTF">2022-07-11T19:31:00Z</dcterms:created>
  <dcterms:modified xsi:type="dcterms:W3CDTF">2026-03-24T10:01:00Z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